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142C213C" w14:textId="77777777" w:rsidR="005F2984" w:rsidRDefault="005F2984" w:rsidP="005F2984">
      <w:pPr>
        <w:autoSpaceDE w:val="0"/>
        <w:jc w:val="center"/>
        <w:rPr>
          <w:rFonts w:ascii="Arial" w:hAnsi="Arial"/>
          <w:b/>
          <w:bCs/>
          <w:color w:val="000000"/>
          <w:sz w:val="20"/>
          <w:szCs w:val="20"/>
        </w:rPr>
      </w:pPr>
      <w:r>
        <w:rPr>
          <w:rFonts w:ascii="Arial" w:hAnsi="Arial"/>
          <w:b/>
          <w:bCs/>
          <w:color w:val="000000"/>
          <w:sz w:val="20"/>
          <w:szCs w:val="20"/>
        </w:rPr>
        <w:t>MINISTÉRIO DA DEFESA</w:t>
      </w:r>
    </w:p>
    <w:p w14:paraId="7C03A594" w14:textId="77777777" w:rsidR="005F2984" w:rsidRDefault="005F2984" w:rsidP="005F2984">
      <w:pPr>
        <w:autoSpaceDE w:val="0"/>
        <w:jc w:val="center"/>
        <w:rPr>
          <w:rFonts w:ascii="Arial" w:hAnsi="Arial"/>
          <w:b/>
          <w:bCs/>
          <w:color w:val="000000"/>
          <w:sz w:val="20"/>
          <w:szCs w:val="20"/>
        </w:rPr>
      </w:pPr>
      <w:r>
        <w:rPr>
          <w:rFonts w:ascii="Arial" w:hAnsi="Arial"/>
          <w:b/>
          <w:bCs/>
          <w:color w:val="000000"/>
          <w:sz w:val="20"/>
          <w:szCs w:val="20"/>
        </w:rPr>
        <w:t>EXÉRCITO BRASILEIRO</w:t>
      </w:r>
    </w:p>
    <w:p w14:paraId="32F4141B" w14:textId="77777777" w:rsidR="005F2984" w:rsidRDefault="005F2984" w:rsidP="005F2984">
      <w:pPr>
        <w:autoSpaceDE w:val="0"/>
        <w:jc w:val="center"/>
        <w:rPr>
          <w:rFonts w:ascii="Arial" w:hAnsi="Arial"/>
          <w:sz w:val="20"/>
          <w:szCs w:val="20"/>
        </w:rPr>
      </w:pPr>
      <w:r>
        <w:rPr>
          <w:rFonts w:ascii="Arial" w:hAnsi="Arial" w:cs="Arial"/>
          <w:b/>
          <w:bCs/>
          <w:color w:val="000000"/>
          <w:sz w:val="20"/>
          <w:szCs w:val="20"/>
        </w:rPr>
        <w:t xml:space="preserve"> BASE DE AVIAÇÃO DE TAUBATE</w:t>
      </w:r>
    </w:p>
    <w:p w14:paraId="58B414AB" w14:textId="19DCE899" w:rsidR="005F2984" w:rsidRDefault="005F2984" w:rsidP="005F2984">
      <w:pPr>
        <w:spacing w:before="120" w:after="288" w:line="312" w:lineRule="auto"/>
        <w:jc w:val="center"/>
      </w:pPr>
      <w:r>
        <w:rPr>
          <w:rFonts w:ascii="Arial" w:hAnsi="Arial" w:cs="Arial"/>
          <w:color w:val="000000"/>
          <w:sz w:val="20"/>
          <w:szCs w:val="20"/>
        </w:rPr>
        <w:t>(Processo Administrativo n</w:t>
      </w:r>
      <w:r>
        <w:rPr>
          <w:rFonts w:ascii="Arial" w:hAnsi="Arial" w:cs="Arial"/>
          <w:bCs/>
          <w:color w:val="000000"/>
          <w:sz w:val="20"/>
          <w:szCs w:val="20"/>
        </w:rPr>
        <w:t xml:space="preserve">° </w:t>
      </w:r>
      <w:r w:rsidRPr="00597353">
        <w:rPr>
          <w:rFonts w:ascii="Arial" w:hAnsi="Arial" w:cs="Arial" w:hint="eastAsia"/>
          <w:bCs/>
          <w:color w:val="000000"/>
          <w:sz w:val="20"/>
          <w:szCs w:val="20"/>
        </w:rPr>
        <w:t>64009.0</w:t>
      </w:r>
      <w:r w:rsidR="00885651">
        <w:rPr>
          <w:rFonts w:ascii="Arial" w:hAnsi="Arial" w:cs="Arial"/>
          <w:bCs/>
          <w:color w:val="000000"/>
          <w:sz w:val="20"/>
          <w:szCs w:val="20"/>
        </w:rPr>
        <w:t>0</w:t>
      </w:r>
      <w:r w:rsidR="009E6A09">
        <w:rPr>
          <w:rFonts w:ascii="Arial" w:hAnsi="Arial" w:cs="Arial"/>
          <w:bCs/>
          <w:color w:val="000000"/>
          <w:sz w:val="20"/>
          <w:szCs w:val="20"/>
        </w:rPr>
        <w:t>6159</w:t>
      </w:r>
      <w:r w:rsidRPr="00597353">
        <w:rPr>
          <w:rFonts w:ascii="Arial" w:hAnsi="Arial" w:cs="Arial" w:hint="eastAsia"/>
          <w:bCs/>
          <w:color w:val="000000"/>
          <w:sz w:val="20"/>
          <w:szCs w:val="20"/>
        </w:rPr>
        <w:t>/202</w:t>
      </w:r>
      <w:r w:rsidR="00885651">
        <w:rPr>
          <w:rFonts w:ascii="Arial" w:hAnsi="Arial" w:cs="Arial"/>
          <w:bCs/>
          <w:color w:val="000000"/>
          <w:sz w:val="20"/>
          <w:szCs w:val="20"/>
        </w:rPr>
        <w:t>4</w:t>
      </w:r>
      <w:r w:rsidRPr="00597353">
        <w:rPr>
          <w:rFonts w:ascii="Arial" w:hAnsi="Arial" w:cs="Arial" w:hint="eastAsia"/>
          <w:bCs/>
          <w:color w:val="000000"/>
          <w:sz w:val="20"/>
          <w:szCs w:val="20"/>
        </w:rPr>
        <w:t>-</w:t>
      </w:r>
      <w:r w:rsidR="00885651">
        <w:rPr>
          <w:rFonts w:ascii="Arial" w:hAnsi="Arial" w:cs="Arial"/>
          <w:bCs/>
          <w:color w:val="000000"/>
          <w:sz w:val="20"/>
          <w:szCs w:val="20"/>
        </w:rPr>
        <w:t>1</w:t>
      </w:r>
      <w:r w:rsidR="009E6A09">
        <w:rPr>
          <w:rFonts w:ascii="Arial" w:hAnsi="Arial" w:cs="Arial"/>
          <w:bCs/>
          <w:color w:val="000000"/>
          <w:sz w:val="20"/>
          <w:szCs w:val="20"/>
        </w:rPr>
        <w:t>6</w:t>
      </w:r>
      <w:r>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7DD22C7A" w:rsidR="00DC41DD" w:rsidRPr="004827F2" w:rsidRDefault="005F2984" w:rsidP="00633470">
      <w:pPr>
        <w:spacing w:before="120" w:after="120" w:line="276" w:lineRule="auto"/>
        <w:ind w:firstLine="1418"/>
        <w:jc w:val="both"/>
        <w:rPr>
          <w:rFonts w:ascii="Arial" w:eastAsia="Arial" w:hAnsi="Arial" w:cs="Arial"/>
          <w:sz w:val="20"/>
          <w:szCs w:val="20"/>
        </w:rPr>
      </w:pPr>
      <w:r>
        <w:rPr>
          <w:rFonts w:ascii="Arial" w:eastAsia="Arial" w:hAnsi="Arial" w:cs="Arial"/>
          <w:sz w:val="20"/>
          <w:szCs w:val="20"/>
        </w:rPr>
        <w:t xml:space="preserve">A União por intermédio da </w:t>
      </w:r>
      <w:bookmarkStart w:id="0" w:name="_Hlk131688257"/>
      <w:r>
        <w:rPr>
          <w:rFonts w:ascii="Arial" w:eastAsia="Arial" w:hAnsi="Arial" w:cs="Arial"/>
          <w:sz w:val="20"/>
          <w:szCs w:val="20"/>
        </w:rPr>
        <w:t>Base de Aviação de Taubaté, por meio da Seção de Licitações, sediada à Estrada Municipal dos Remédios, nº 2135, Bairro Itaim, Taubaté-SP</w:t>
      </w:r>
      <w:bookmarkEnd w:id="0"/>
      <w:r>
        <w:rPr>
          <w:rFonts w:ascii="Arial" w:eastAsia="Arial" w:hAnsi="Arial" w:cs="Arial"/>
          <w:sz w:val="20"/>
          <w:szCs w:val="20"/>
        </w:rPr>
        <w:t>, inscrito no CNPJ sob o nº 09545196/0001-74, neste ato representado pelo C</w:t>
      </w:r>
      <w:r w:rsidR="00663595">
        <w:rPr>
          <w:rFonts w:ascii="Arial" w:eastAsia="Arial" w:hAnsi="Arial" w:cs="Arial"/>
          <w:sz w:val="20"/>
          <w:szCs w:val="20"/>
        </w:rPr>
        <w:t>el</w:t>
      </w:r>
      <w:r>
        <w:rPr>
          <w:rFonts w:ascii="Arial" w:eastAsia="Arial" w:hAnsi="Arial" w:cs="Arial"/>
          <w:sz w:val="20"/>
          <w:szCs w:val="20"/>
        </w:rPr>
        <w:t xml:space="preserve"> WAGNER GONÇALVES DE SOUZA, nomeado pelo Boletim nº 11, de 16 de janeiro de 2023, da Base de Aviação de Taubaté, portador da Matrícula Funcional nº 53.863.212-4, doravante denominado CONTRATANTE</w:t>
      </w:r>
      <w:r w:rsidR="00DC41DD" w:rsidRPr="004827F2">
        <w:rPr>
          <w:rFonts w:ascii="Arial" w:eastAsia="Arial" w:hAnsi="Arial" w:cs="Arial"/>
          <w:sz w:val="20"/>
          <w:szCs w:val="20"/>
        </w:rPr>
        <w:t xml:space="preserve">, e o(a)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inscrito(a) no CNPJ/MF sob o nº ............................, sediado(a) na</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doravante designado CONTRATADO, </w:t>
      </w:r>
      <w:r w:rsidR="00DC41DD" w:rsidRPr="004827F2">
        <w:rPr>
          <w:rFonts w:ascii="Arial" w:eastAsia="Arial" w:hAnsi="Arial" w:cs="Arial"/>
          <w:i/>
          <w:iCs/>
          <w:color w:val="FF0000"/>
          <w:sz w:val="20"/>
          <w:szCs w:val="20"/>
        </w:rPr>
        <w:t>neste ato representado(a) por</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(nome e função no contratado)</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 xml:space="preserve">conforme atos constitutivos da empresa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procuração apresentada nos autos, </w:t>
      </w:r>
      <w:r w:rsidR="00DC41DD" w:rsidRPr="004827F2">
        <w:rPr>
          <w:rFonts w:ascii="Arial" w:eastAsia="Arial" w:hAnsi="Arial" w:cs="Arial"/>
          <w:sz w:val="20"/>
          <w:szCs w:val="20"/>
        </w:rPr>
        <w:t xml:space="preserve">tendo em vista o que consta no Processo nº </w:t>
      </w:r>
      <w:r w:rsidR="00885651">
        <w:rPr>
          <w:rFonts w:ascii="Arial" w:eastAsia="Arial" w:hAnsi="Arial" w:cs="Arial"/>
          <w:sz w:val="20"/>
          <w:szCs w:val="20"/>
        </w:rPr>
        <w:t>64009</w:t>
      </w:r>
      <w:r w:rsidR="00332A7A">
        <w:rPr>
          <w:rFonts w:ascii="Arial" w:eastAsia="Arial" w:hAnsi="Arial" w:cs="Arial"/>
          <w:sz w:val="20"/>
          <w:szCs w:val="20"/>
        </w:rPr>
        <w:t>.00</w:t>
      </w:r>
      <w:r w:rsidR="009E6A09">
        <w:rPr>
          <w:rFonts w:ascii="Arial" w:eastAsia="Arial" w:hAnsi="Arial" w:cs="Arial"/>
          <w:sz w:val="20"/>
          <w:szCs w:val="20"/>
        </w:rPr>
        <w:t>6159</w:t>
      </w:r>
      <w:r w:rsidR="00332A7A">
        <w:rPr>
          <w:rFonts w:ascii="Arial" w:eastAsia="Arial" w:hAnsi="Arial" w:cs="Arial"/>
          <w:sz w:val="20"/>
          <w:szCs w:val="20"/>
        </w:rPr>
        <w:t>/2024-1</w:t>
      </w:r>
      <w:r w:rsidR="009E6A09">
        <w:rPr>
          <w:rFonts w:ascii="Arial" w:eastAsia="Arial" w:hAnsi="Arial" w:cs="Arial"/>
          <w:sz w:val="20"/>
          <w:szCs w:val="20"/>
        </w:rPr>
        <w:t>6.</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hyperlink r:id="rId12"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decorrente </w:t>
      </w:r>
      <w:r w:rsidR="00DC41DD" w:rsidRPr="00332A7A">
        <w:rPr>
          <w:rFonts w:ascii="Arial" w:eastAsia="Arial" w:hAnsi="Arial" w:cs="Arial"/>
          <w:i/>
          <w:iCs/>
          <w:sz w:val="20"/>
          <w:szCs w:val="20"/>
        </w:rPr>
        <w:t xml:space="preserve">do Pregão Eletrônico n. </w:t>
      </w:r>
      <w:r w:rsidR="00332A7A" w:rsidRPr="00332A7A">
        <w:rPr>
          <w:rFonts w:ascii="Arial" w:eastAsia="Arial" w:hAnsi="Arial" w:cs="Arial"/>
          <w:i/>
          <w:iCs/>
          <w:sz w:val="20"/>
          <w:szCs w:val="20"/>
        </w:rPr>
        <w:t>900</w:t>
      </w:r>
      <w:r w:rsidR="009E6A09">
        <w:rPr>
          <w:rFonts w:ascii="Arial" w:eastAsia="Arial" w:hAnsi="Arial" w:cs="Arial"/>
          <w:i/>
          <w:iCs/>
          <w:sz w:val="20"/>
          <w:szCs w:val="20"/>
        </w:rPr>
        <w:t>35</w:t>
      </w:r>
      <w:r w:rsidR="00DC41DD" w:rsidRPr="00332A7A">
        <w:rPr>
          <w:rFonts w:ascii="Arial" w:eastAsia="Arial" w:hAnsi="Arial" w:cs="Arial"/>
          <w:i/>
          <w:iCs/>
          <w:sz w:val="20"/>
          <w:szCs w:val="20"/>
        </w:rPr>
        <w:t>/</w:t>
      </w:r>
      <w:r w:rsidR="00332A7A" w:rsidRPr="00332A7A">
        <w:rPr>
          <w:rFonts w:ascii="Arial" w:eastAsia="Arial" w:hAnsi="Arial" w:cs="Arial"/>
          <w:i/>
          <w:iCs/>
          <w:sz w:val="20"/>
          <w:szCs w:val="20"/>
        </w:rPr>
        <w:t>2024</w:t>
      </w:r>
      <w:r w:rsidR="00DC41DD" w:rsidRPr="004827F2">
        <w:rPr>
          <w:rFonts w:ascii="Arial" w:eastAsia="Arial" w:hAnsi="Arial" w:cs="Arial"/>
          <w:sz w:val="20"/>
          <w:szCs w:val="20"/>
        </w:rPr>
        <w:t>, mediante 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58B56927" w:rsidR="00DC41DD" w:rsidRPr="004827F2" w:rsidRDefault="00DC41DD" w:rsidP="00EA2E8C">
      <w:pPr>
        <w:pStyle w:val="Nivel2"/>
      </w:pPr>
      <w:r w:rsidRPr="004827F2">
        <w:t xml:space="preserve">O objeto </w:t>
      </w:r>
      <w:r w:rsidRPr="004E64AA">
        <w:t>do</w:t>
      </w:r>
      <w:r w:rsidRPr="004827F2">
        <w:t xml:space="preserve"> presente instrumento é a </w:t>
      </w:r>
      <w:r w:rsidR="008E7F51" w:rsidRPr="008E7F51">
        <w:rPr>
          <w:color w:val="auto"/>
        </w:rPr>
        <w:t>a</w:t>
      </w:r>
      <w:r w:rsidR="008E7F51" w:rsidRPr="008E7F51">
        <w:rPr>
          <w:rFonts w:hint="eastAsia"/>
          <w:color w:val="auto"/>
        </w:rPr>
        <w:t>quisição de reagentes para dosagem de hemoglobina glicada e dosagem hormonal e imunoensaio com o fornecimento de</w:t>
      </w:r>
      <w:r w:rsidR="008E7F51" w:rsidRPr="008E7F51">
        <w:rPr>
          <w:color w:val="auto"/>
        </w:rPr>
        <w:t xml:space="preserve"> </w:t>
      </w:r>
      <w:r w:rsidR="008E7F51" w:rsidRPr="008E7F51">
        <w:rPr>
          <w:rFonts w:hint="eastAsia"/>
          <w:color w:val="auto"/>
        </w:rPr>
        <w:t>equipamentos em sistema de COMODATO</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29A66A37" w14:textId="2C7D81EF" w:rsidR="00077AEB" w:rsidRPr="00007C2E" w:rsidRDefault="00077AEB" w:rsidP="000E67C7">
      <w:pPr>
        <w:pStyle w:val="Nvel2-Red"/>
        <w:rPr>
          <w:color w:val="auto"/>
        </w:rPr>
      </w:pPr>
      <w:r w:rsidRPr="00007C2E">
        <w:rPr>
          <w:rFonts w:hint="eastAsia"/>
          <w:color w:val="auto"/>
        </w:rPr>
        <w:t>O prazo de vigência da contratação é de 12 (doze) meses contados da assinatura do Termo de Contrato, cuja prorrogação</w:t>
      </w:r>
      <w:r w:rsidRPr="00007C2E">
        <w:rPr>
          <w:color w:val="auto"/>
        </w:rPr>
        <w:t xml:space="preserve"> </w:t>
      </w:r>
      <w:r w:rsidRPr="00007C2E">
        <w:rPr>
          <w:rFonts w:hint="eastAsia"/>
          <w:color w:val="auto"/>
        </w:rPr>
        <w:t>segue o disposto nos artigos 106 e 107 da Lei n</w:t>
      </w:r>
      <w:r w:rsidRPr="00007C2E">
        <w:rPr>
          <w:rFonts w:hint="eastAsia"/>
          <w:color w:val="auto"/>
        </w:rPr>
        <w:t>°</w:t>
      </w:r>
      <w:r w:rsidRPr="00007C2E">
        <w:rPr>
          <w:rFonts w:hint="eastAsia"/>
          <w:color w:val="auto"/>
        </w:rPr>
        <w:t xml:space="preserve"> 14.133, de 2021.</w:t>
      </w:r>
    </w:p>
    <w:p w14:paraId="5142D43D" w14:textId="77777777" w:rsidR="008D69C7" w:rsidRPr="00007C2E" w:rsidRDefault="008D69C7" w:rsidP="00361637">
      <w:pPr>
        <w:pStyle w:val="Nvel3-R"/>
        <w:rPr>
          <w:color w:val="auto"/>
        </w:rPr>
      </w:pPr>
      <w:r w:rsidRPr="00007C2E">
        <w:rPr>
          <w:rFonts w:hint="eastAsia"/>
          <w:color w:val="auto"/>
        </w:rPr>
        <w:t>O fornecimento de bens é enquadrado como continuado tendo em vista que sua necessidade é permanente e contínua,</w:t>
      </w:r>
      <w:r w:rsidRPr="00007C2E">
        <w:rPr>
          <w:color w:val="auto"/>
        </w:rPr>
        <w:t xml:space="preserve"> </w:t>
      </w:r>
      <w:r w:rsidRPr="00007C2E">
        <w:rPr>
          <w:rFonts w:hint="eastAsia"/>
          <w:color w:val="auto"/>
        </w:rPr>
        <w:t>sendo a vigência plurianual mais vantajosa considerando as especificidades determinadas no Estudo Técnico Preliminar.</w:t>
      </w:r>
    </w:p>
    <w:p w14:paraId="637AAE1D" w14:textId="383E8360" w:rsidR="00DC41DD" w:rsidRPr="00007C2E" w:rsidRDefault="00DC41DD" w:rsidP="00361637">
      <w:pPr>
        <w:pStyle w:val="Nvel3-R"/>
        <w:rPr>
          <w:color w:val="auto"/>
        </w:rPr>
      </w:pPr>
      <w:r w:rsidRPr="00007C2E">
        <w:rPr>
          <w:color w:val="auto"/>
        </w:rPr>
        <w:t>A prorrogação de que trata este item é condicionada ao ateste, pela autoridade competente, de que as condições e os preços permanecem vantajosos para a Administração, permitida a negociação com o contratado.</w:t>
      </w:r>
    </w:p>
    <w:p w14:paraId="1CD1C169" w14:textId="5F6212FE" w:rsidR="002E5082" w:rsidRPr="00007C2E" w:rsidRDefault="002E5082" w:rsidP="004E64AA">
      <w:pPr>
        <w:pStyle w:val="Nvel2-Red"/>
        <w:rPr>
          <w:color w:val="auto"/>
          <w:highlight w:val="yellow"/>
        </w:rPr>
      </w:pPr>
      <w:r w:rsidRPr="00007C2E">
        <w:rPr>
          <w:color w:val="auto"/>
          <w:highlight w:val="yellow"/>
        </w:rPr>
        <w:t>O contratado não tem direito subjetivo à prorrogação contratual.</w:t>
      </w:r>
    </w:p>
    <w:p w14:paraId="507F92AF" w14:textId="7F693F2F" w:rsidR="002E5082" w:rsidRPr="00007C2E" w:rsidRDefault="002E5082" w:rsidP="004E64AA">
      <w:pPr>
        <w:pStyle w:val="Nvel2-Red"/>
        <w:rPr>
          <w:color w:val="auto"/>
          <w:highlight w:val="yellow"/>
        </w:rPr>
      </w:pPr>
      <w:r w:rsidRPr="00007C2E">
        <w:rPr>
          <w:color w:val="auto"/>
          <w:highlight w:val="yellow"/>
        </w:rPr>
        <w:t>A prorrogação de contrato deverá ser promovida mediante celebração de termo aditivo.</w:t>
      </w:r>
    </w:p>
    <w:p w14:paraId="03A9E789" w14:textId="7D1EB2CE" w:rsidR="00DB5DAB" w:rsidRPr="00007C2E" w:rsidRDefault="00DB5DAB" w:rsidP="004E64AA">
      <w:pPr>
        <w:pStyle w:val="Nvel2-Red"/>
        <w:rPr>
          <w:color w:val="auto"/>
          <w:highlight w:val="yellow"/>
        </w:rPr>
      </w:pPr>
      <w:r w:rsidRPr="00007C2E">
        <w:rPr>
          <w:color w:val="auto"/>
          <w:highlight w:val="yellow"/>
        </w:rPr>
        <w:t>O contrato não poderá ser prorrogado quando o contratado tiver sido penalizado nas sanções de declaração de inidoneidade ou impedimento de licitar e contratar com poder público, observadas as abrangências de aplicação.</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4"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972CE9" w:rsidRDefault="00DC41DD" w:rsidP="004E64AA">
      <w:pPr>
        <w:pStyle w:val="Nvel2-Red"/>
        <w:rPr>
          <w:color w:val="auto"/>
        </w:rPr>
      </w:pPr>
      <w:r w:rsidRPr="00972CE9">
        <w:rPr>
          <w:color w:val="auto"/>
        </w:rPr>
        <w:t>Não será admitida a subcontratação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5" w:anchor="art92" w:history="1">
        <w:r w:rsidR="00362E67" w:rsidRPr="004827F2">
          <w:rPr>
            <w:rStyle w:val="Hyperlink"/>
          </w:rPr>
          <w:t>art. 92, V)</w:t>
        </w:r>
      </w:hyperlink>
    </w:p>
    <w:p w14:paraId="504BF298" w14:textId="77777777" w:rsidR="00DC41DD" w:rsidRPr="004827F2" w:rsidRDefault="00DC41DD" w:rsidP="004E64AA">
      <w:pPr>
        <w:pStyle w:val="Nvel2-Red"/>
      </w:pPr>
      <w:r w:rsidRPr="004827F2">
        <w:t xml:space="preserve">O valor total da </w:t>
      </w:r>
      <w:r w:rsidRPr="004E64AA">
        <w:t>contratação</w:t>
      </w:r>
      <w:r w:rsidRPr="004827F2">
        <w:t xml:space="preserve">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w:t>
      </w:r>
      <w:r w:rsidRPr="004827F2">
        <w:lastRenderedPageBreak/>
        <w:t>comerciais incidentes, taxa de administração, frete, seguro e outros necessários ao cumprimento integral do objeto da contratação.</w:t>
      </w:r>
    </w:p>
    <w:p w14:paraId="211EBF8B" w14:textId="34AB50A4" w:rsidR="00DC41DD" w:rsidRPr="004827F2" w:rsidRDefault="00DC41DD" w:rsidP="004E64AA">
      <w:pPr>
        <w:pStyle w:val="Nvel2-Red"/>
      </w:pPr>
      <w:r w:rsidRPr="004827F2">
        <w:t xml:space="preserve">O valor </w:t>
      </w:r>
      <w:r w:rsidRPr="004E64AA">
        <w:t>acima</w:t>
      </w:r>
      <w:r w:rsidRPr="004827F2">
        <w:t xml:space="preserve"> é meramente estimativo, de forma que os pagamentos devidos ao contratado dependerão dos quantitativos efetivamente fornecidos.</w:t>
      </w:r>
    </w:p>
    <w:p w14:paraId="260F9E71" w14:textId="70BC884D" w:rsidR="00DC41DD" w:rsidRPr="004827F2" w:rsidRDefault="00DC41DD" w:rsidP="00F8329F">
      <w:pPr>
        <w:pStyle w:val="Nivel01"/>
        <w:rPr>
          <w:color w:val="FFFFFF" w:themeColor="background1"/>
        </w:rPr>
      </w:pPr>
      <w:r w:rsidRPr="004827F2">
        <w:t>CLÁUSULA SEXTA - PAGAMENTO (</w:t>
      </w:r>
      <w:hyperlink r:id="rId16"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t>CLÁUSULA SÉTIMA - REAJUSTE (</w:t>
      </w:r>
      <w:hyperlink r:id="rId17" w:anchor="art92" w:history="1">
        <w:r w:rsidRPr="004827F2">
          <w:rPr>
            <w:rStyle w:val="Hyperlink"/>
          </w:rPr>
          <w:t>art. 92, V)</w:t>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4F1006F0"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índice </w:t>
      </w:r>
      <w:r w:rsidR="00260943">
        <w:t>IPCA</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será(ão),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18"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007C2E">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lastRenderedPageBreak/>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4C3D49FF" w:rsidR="00DC41DD" w:rsidRPr="004827F2" w:rsidRDefault="00DC41DD" w:rsidP="004E64AA">
      <w:pPr>
        <w:pStyle w:val="Nivel2"/>
        <w:rPr>
          <w:b/>
          <w:bCs/>
        </w:rPr>
      </w:pPr>
      <w:r w:rsidRPr="004827F2">
        <w:t xml:space="preserve"> A Administração terá o prazo de</w:t>
      </w:r>
      <w:r w:rsidR="00C866A6">
        <w:t xml:space="preserve"> 30 (trinta) dias</w:t>
      </w:r>
      <w:r w:rsidRPr="004827F2">
        <w:t xml:space="preserve">, a contar da data do protocolo do requerimento para decidir, admitida a prorrogação motivada, por igual período. </w:t>
      </w:r>
    </w:p>
    <w:p w14:paraId="0A9AC408" w14:textId="773FD413"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00C866A6">
        <w:t>30 (trinta) dias.</w:t>
      </w:r>
    </w:p>
    <w:p w14:paraId="4F3C6D87" w14:textId="77777777" w:rsidR="00DC41DD" w:rsidRPr="00C866A6" w:rsidRDefault="00DC41DD" w:rsidP="004E64AA">
      <w:pPr>
        <w:pStyle w:val="Nvel2-Red"/>
        <w:rPr>
          <w:color w:val="auto"/>
        </w:rPr>
      </w:pPr>
      <w:r w:rsidRPr="00C866A6">
        <w:rPr>
          <w:color w:val="auto"/>
        </w:rPr>
        <w:t>Notificar os emitentes das garantias quanto ao início de processo administrativo para apuração de descumprimento de cláusulas contratuais.</w:t>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19"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C866A6" w:rsidRDefault="00DC41DD" w:rsidP="004E64AA">
      <w:pPr>
        <w:pStyle w:val="Nvel2-Red"/>
        <w:rPr>
          <w:color w:val="auto"/>
        </w:rPr>
      </w:pPr>
      <w:r w:rsidRPr="00C866A6">
        <w:rPr>
          <w:color w:val="auto"/>
        </w:rPr>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0"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1"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lastRenderedPageBreak/>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2"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3"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7F4F72" w:rsidRDefault="00DC41DD" w:rsidP="00F8329F">
      <w:pPr>
        <w:pStyle w:val="Nvel2-Red"/>
        <w:rPr>
          <w:color w:val="auto"/>
        </w:rPr>
      </w:pPr>
      <w:bookmarkStart w:id="1" w:name="_Ref118293001"/>
      <w:r w:rsidRPr="007F4F72">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7F236BB9" w14:textId="77777777" w:rsidR="00DC41DD" w:rsidRPr="007F4F72" w:rsidRDefault="00DC41DD" w:rsidP="00F8329F">
      <w:pPr>
        <w:pStyle w:val="Nvel2-Red"/>
        <w:rPr>
          <w:color w:val="auto"/>
        </w:rPr>
      </w:pPr>
      <w:r w:rsidRPr="007F4F72">
        <w:rPr>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7F4F72" w:rsidRDefault="00DC41DD" w:rsidP="00F8329F">
      <w:pPr>
        <w:pStyle w:val="Nvel2-Red"/>
        <w:rPr>
          <w:color w:val="auto"/>
        </w:rPr>
      </w:pPr>
      <w:r w:rsidRPr="007F4F72">
        <w:rPr>
          <w:color w:val="auto"/>
        </w:rPr>
        <w:t>Conduzir os trabalhos com estrita observância às normas da legislação pertinente, cumprindo as determinações dos Poderes Públicos, mantendo sempre limpo o local d</w:t>
      </w:r>
      <w:r w:rsidRPr="007F4F72">
        <w:rPr>
          <w:color w:val="auto"/>
          <w:lang w:eastAsia="en-US"/>
        </w:rPr>
        <w:t>e execução do objeto</w:t>
      </w:r>
      <w:r w:rsidRPr="007F4F72">
        <w:rPr>
          <w:color w:val="auto"/>
        </w:rPr>
        <w:t xml:space="preserve"> e nas melhores condições de segurança, higiene e disciplina.</w:t>
      </w:r>
    </w:p>
    <w:p w14:paraId="527F2211" w14:textId="77777777" w:rsidR="00DC41DD" w:rsidRPr="007F4F72" w:rsidRDefault="00DC41DD" w:rsidP="00F8329F">
      <w:pPr>
        <w:pStyle w:val="Nvel2-Red"/>
        <w:rPr>
          <w:color w:val="auto"/>
        </w:rPr>
      </w:pPr>
      <w:r w:rsidRPr="007F4F72">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7F4F72" w:rsidRDefault="00DC41DD" w:rsidP="00F8329F">
      <w:pPr>
        <w:pStyle w:val="Nvel2-Red"/>
        <w:rPr>
          <w:color w:val="auto"/>
        </w:rPr>
      </w:pPr>
      <w:bookmarkStart w:id="2" w:name="_Ref118293030"/>
      <w:r w:rsidRPr="007F4F72">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399FFBFE" w14:textId="22A1C034" w:rsidR="00DC41DD" w:rsidRDefault="00DC41DD" w:rsidP="00142122">
      <w:pPr>
        <w:pStyle w:val="Nivel01"/>
      </w:pPr>
      <w:r w:rsidRPr="004827F2">
        <w:t xml:space="preserve">CLÁUSULA </w:t>
      </w:r>
      <w:r w:rsidRPr="00142122">
        <w:t>DÉCIMA</w:t>
      </w:r>
      <w:r w:rsidRPr="004827F2">
        <w:t>– GARANTIA DE EXECUÇÃO (</w:t>
      </w:r>
      <w:hyperlink r:id="rId25" w:anchor="art92" w:history="1">
        <w:r w:rsidRPr="004827F2">
          <w:rPr>
            <w:rStyle w:val="Hyperlink"/>
          </w:rPr>
          <w:t>art. 92, XII</w:t>
        </w:r>
      </w:hyperlink>
      <w:r w:rsidRPr="004827F2">
        <w:t>)</w:t>
      </w:r>
      <w:r w:rsidR="00F3430B">
        <w:t>garantia</w:t>
      </w:r>
    </w:p>
    <w:p w14:paraId="59A41AF0" w14:textId="77777777" w:rsidR="00F3430B" w:rsidRPr="00F3430B" w:rsidRDefault="00F3430B" w:rsidP="00F3430B"/>
    <w:p w14:paraId="2ABE84A4" w14:textId="77777777" w:rsidR="00DC41DD" w:rsidRPr="004827F2" w:rsidRDefault="00DC41DD" w:rsidP="00142122">
      <w:pPr>
        <w:pStyle w:val="Nvel2-Red"/>
      </w:pPr>
      <w:r w:rsidRPr="004827F2">
        <w:t xml:space="preserve">  </w:t>
      </w:r>
      <w:r w:rsidRPr="004D5CB5">
        <w:rPr>
          <w:color w:val="auto"/>
        </w:rPr>
        <w:t>Não haverá exigência de garantia contratual da execução.</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26"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7"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8"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29" w:anchor="art156§2" w:history="1">
        <w:r w:rsidRPr="004827F2">
          <w:rPr>
            <w:rStyle w:val="Hyperlink"/>
            <w:rFonts w:ascii="Arial" w:eastAsia="Arial" w:hAnsi="Arial" w:cs="Arial"/>
            <w:sz w:val="20"/>
            <w:szCs w:val="20"/>
          </w:rPr>
          <w:t xml:space="preserve">art. 156, §2º, da </w:t>
        </w:r>
        <w:bookmarkStart w:id="3" w:name="_Hlk114504069"/>
        <w:r w:rsidRPr="004827F2">
          <w:rPr>
            <w:rStyle w:val="Hyperlink"/>
            <w:rFonts w:ascii="Arial" w:eastAsia="Arial" w:hAnsi="Arial" w:cs="Arial"/>
            <w:sz w:val="20"/>
            <w:szCs w:val="20"/>
          </w:rPr>
          <w:t>Lei nº 14.133, de 2021</w:t>
        </w:r>
        <w:bookmarkEnd w:id="3"/>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0"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1"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7ACE0BA2"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r w:rsidR="00C5588A">
        <w:rPr>
          <w:rFonts w:ascii="Arial" w:eastAsia="Arial" w:hAnsi="Arial" w:cs="Arial"/>
          <w:sz w:val="20"/>
          <w:szCs w:val="20"/>
        </w:rPr>
        <w:t>1</w:t>
      </w:r>
      <w:r w:rsidR="00DC41DD" w:rsidRPr="004827F2">
        <w:rPr>
          <w:rFonts w:ascii="Arial" w:eastAsia="Arial" w:hAnsi="Arial" w:cs="Arial"/>
          <w:sz w:val="20"/>
          <w:szCs w:val="20"/>
        </w:rPr>
        <w:t>% (</w:t>
      </w:r>
      <w:r w:rsidR="00C5588A">
        <w:rPr>
          <w:rFonts w:ascii="Arial" w:eastAsia="Arial" w:hAnsi="Arial" w:cs="Arial"/>
          <w:sz w:val="20"/>
          <w:szCs w:val="20"/>
        </w:rPr>
        <w:t>um</w:t>
      </w:r>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C5588A">
        <w:rPr>
          <w:rFonts w:ascii="Arial" w:eastAsia="Arial" w:hAnsi="Arial" w:cs="Arial"/>
          <w:sz w:val="20"/>
          <w:szCs w:val="20"/>
        </w:rPr>
        <w:t>30 (trinta)</w:t>
      </w:r>
      <w:r w:rsidR="00DC41DD" w:rsidRPr="004827F2">
        <w:rPr>
          <w:rFonts w:ascii="Arial" w:eastAsia="Arial" w:hAnsi="Arial" w:cs="Arial"/>
          <w:sz w:val="20"/>
          <w:szCs w:val="20"/>
        </w:rPr>
        <w:t xml:space="preserve"> dias;</w:t>
      </w:r>
    </w:p>
    <w:p w14:paraId="2B67A379" w14:textId="63F4FF56" w:rsidR="00542A36" w:rsidRPr="00B22DEE"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B22DEE">
        <w:rPr>
          <w:rFonts w:ascii="Arial" w:eastAsia="Arial" w:hAnsi="Arial" w:cs="Arial"/>
          <w:i/>
          <w:iCs/>
          <w:sz w:val="20"/>
          <w:szCs w:val="20"/>
        </w:rPr>
        <w:t>Moratória</w:t>
      </w:r>
      <w:r w:rsidR="00DC41DD" w:rsidRPr="00B22DEE">
        <w:rPr>
          <w:rFonts w:ascii="Arial" w:eastAsia="Arial" w:hAnsi="Arial" w:cs="Arial"/>
          <w:i/>
          <w:iCs/>
          <w:sz w:val="20"/>
          <w:szCs w:val="20"/>
        </w:rPr>
        <w:t xml:space="preserve"> de </w:t>
      </w:r>
      <w:r w:rsidR="00F05C8F" w:rsidRPr="00B22DEE">
        <w:rPr>
          <w:rFonts w:ascii="Arial" w:eastAsia="Arial" w:hAnsi="Arial" w:cs="Arial"/>
          <w:i/>
          <w:iCs/>
          <w:sz w:val="20"/>
          <w:szCs w:val="20"/>
        </w:rPr>
        <w:t>1</w:t>
      </w:r>
      <w:r w:rsidR="00DC41DD" w:rsidRPr="00B22DEE">
        <w:rPr>
          <w:rFonts w:ascii="Arial" w:eastAsia="Arial" w:hAnsi="Arial" w:cs="Arial"/>
          <w:i/>
          <w:iCs/>
          <w:sz w:val="20"/>
          <w:szCs w:val="20"/>
        </w:rPr>
        <w:t>% (</w:t>
      </w:r>
      <w:r w:rsidR="00F05C8F" w:rsidRPr="00B22DEE">
        <w:rPr>
          <w:rFonts w:ascii="Arial" w:eastAsia="Arial" w:hAnsi="Arial" w:cs="Arial"/>
          <w:i/>
          <w:iCs/>
          <w:sz w:val="20"/>
          <w:szCs w:val="20"/>
        </w:rPr>
        <w:t>um</w:t>
      </w:r>
      <w:r w:rsidR="00DC41DD" w:rsidRPr="00B22DEE">
        <w:rPr>
          <w:rFonts w:ascii="Arial" w:eastAsia="Arial" w:hAnsi="Arial" w:cs="Arial"/>
          <w:i/>
          <w:iCs/>
          <w:sz w:val="20"/>
          <w:szCs w:val="20"/>
        </w:rPr>
        <w:t xml:space="preserve"> por cento) por dia de atraso injustificado sobre o valor total do contrato, até o máximo de </w:t>
      </w:r>
      <w:r w:rsidR="00F05C8F" w:rsidRPr="00B22DEE">
        <w:rPr>
          <w:rFonts w:ascii="Arial" w:eastAsia="Arial" w:hAnsi="Arial" w:cs="Arial"/>
          <w:i/>
          <w:iCs/>
          <w:sz w:val="20"/>
          <w:szCs w:val="20"/>
        </w:rPr>
        <w:t>10</w:t>
      </w:r>
      <w:r w:rsidR="00DC41DD" w:rsidRPr="00B22DEE">
        <w:rPr>
          <w:rFonts w:ascii="Arial" w:eastAsia="Arial" w:hAnsi="Arial" w:cs="Arial"/>
          <w:i/>
          <w:iCs/>
          <w:sz w:val="20"/>
          <w:szCs w:val="20"/>
        </w:rPr>
        <w:t>% (</w:t>
      </w:r>
      <w:r w:rsidR="00F05C8F" w:rsidRPr="00B22DEE">
        <w:rPr>
          <w:rFonts w:ascii="Arial" w:eastAsia="Arial" w:hAnsi="Arial" w:cs="Arial"/>
          <w:i/>
          <w:iCs/>
          <w:sz w:val="20"/>
          <w:szCs w:val="20"/>
        </w:rPr>
        <w:t>dez</w:t>
      </w:r>
      <w:r w:rsidR="00DC41DD" w:rsidRPr="00B22DEE">
        <w:rPr>
          <w:rFonts w:ascii="Arial" w:eastAsia="Arial" w:hAnsi="Arial" w:cs="Arial"/>
          <w:i/>
          <w:iCs/>
          <w:sz w:val="20"/>
          <w:szCs w:val="20"/>
        </w:rPr>
        <w:t xml:space="preserve"> por cento), pela inobservância do prazo fixado para apresentação, suplementação ou reposição da garantia.</w:t>
      </w:r>
    </w:p>
    <w:p w14:paraId="11494643" w14:textId="62D8E22A" w:rsidR="00DC41DD" w:rsidRPr="00B22DEE"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B22DEE">
        <w:rPr>
          <w:rFonts w:ascii="Arial" w:eastAsia="Arial" w:hAnsi="Arial" w:cs="Arial"/>
          <w:i/>
          <w:iCs/>
          <w:sz w:val="20"/>
          <w:szCs w:val="20"/>
        </w:rPr>
        <w:t xml:space="preserve">O atraso superior a </w:t>
      </w:r>
      <w:r w:rsidR="00F05C8F" w:rsidRPr="00B22DEE">
        <w:rPr>
          <w:rFonts w:ascii="Arial" w:eastAsia="Arial" w:hAnsi="Arial" w:cs="Arial"/>
          <w:i/>
          <w:iCs/>
          <w:sz w:val="20"/>
          <w:szCs w:val="20"/>
        </w:rPr>
        <w:t xml:space="preserve">noventa </w:t>
      </w:r>
      <w:r w:rsidRPr="00B22DEE">
        <w:rPr>
          <w:rFonts w:ascii="Arial" w:eastAsia="Arial" w:hAnsi="Arial" w:cs="Arial"/>
          <w:i/>
          <w:iCs/>
          <w:sz w:val="20"/>
          <w:szCs w:val="20"/>
        </w:rPr>
        <w:t xml:space="preserve">dias autoriza a Administração a promover a extinção do contrato por descumprimento ou cumprimento irregular de suas cláusulas, conforme dispõe o inciso I do art. 137 da Lei n. 14.133, de 2021. </w:t>
      </w:r>
    </w:p>
    <w:p w14:paraId="41A86501" w14:textId="1DD89C0B" w:rsidR="00EA1F16" w:rsidRPr="00B22DEE"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B22DEE">
        <w:rPr>
          <w:rFonts w:ascii="Arial" w:eastAsia="Arial" w:hAnsi="Arial" w:cs="Arial"/>
          <w:sz w:val="20"/>
          <w:szCs w:val="20"/>
        </w:rPr>
        <w:t xml:space="preserve">Compensatória, para as infrações descritas nas alíneas “e” a “h” do subitem 12.1, de </w:t>
      </w:r>
      <w:r w:rsidR="00B22DEE" w:rsidRPr="00B22DEE">
        <w:rPr>
          <w:rFonts w:ascii="Arial" w:eastAsia="Arial" w:hAnsi="Arial" w:cs="Arial"/>
          <w:sz w:val="20"/>
          <w:szCs w:val="20"/>
        </w:rPr>
        <w:t>10</w:t>
      </w:r>
      <w:r w:rsidRPr="00B22DEE">
        <w:rPr>
          <w:rFonts w:ascii="Arial" w:eastAsia="Arial" w:hAnsi="Arial" w:cs="Arial"/>
          <w:sz w:val="20"/>
          <w:szCs w:val="20"/>
        </w:rPr>
        <w:t xml:space="preserve">% a </w:t>
      </w:r>
      <w:r w:rsidR="00B22DEE" w:rsidRPr="00B22DEE">
        <w:rPr>
          <w:rFonts w:ascii="Arial" w:eastAsia="Arial" w:hAnsi="Arial" w:cs="Arial"/>
          <w:sz w:val="20"/>
          <w:szCs w:val="20"/>
        </w:rPr>
        <w:t>30</w:t>
      </w:r>
      <w:r w:rsidRPr="00B22DEE">
        <w:rPr>
          <w:rFonts w:ascii="Arial" w:eastAsia="Arial" w:hAnsi="Arial" w:cs="Arial"/>
          <w:sz w:val="20"/>
          <w:szCs w:val="20"/>
        </w:rPr>
        <w:t>% do valor do Contrato.</w:t>
      </w:r>
    </w:p>
    <w:p w14:paraId="7437BE03" w14:textId="467E0D2F" w:rsidR="00EA1F16" w:rsidRPr="00B22DEE"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B22DEE">
        <w:rPr>
          <w:rFonts w:ascii="Arial" w:eastAsia="Arial" w:hAnsi="Arial" w:cs="Arial"/>
          <w:sz w:val="20"/>
          <w:szCs w:val="20"/>
        </w:rPr>
        <w:t xml:space="preserve">Compensatória, para a inexecução total do contrato prevista na alínea “c” do subitem 12.1, de </w:t>
      </w:r>
      <w:r w:rsidR="00B22DEE" w:rsidRPr="00B22DEE">
        <w:rPr>
          <w:rFonts w:ascii="Arial" w:eastAsia="Arial" w:hAnsi="Arial" w:cs="Arial"/>
          <w:sz w:val="20"/>
          <w:szCs w:val="20"/>
        </w:rPr>
        <w:t>10</w:t>
      </w:r>
      <w:r w:rsidRPr="00B22DEE">
        <w:rPr>
          <w:rFonts w:ascii="Arial" w:eastAsia="Arial" w:hAnsi="Arial" w:cs="Arial"/>
          <w:sz w:val="20"/>
          <w:szCs w:val="20"/>
        </w:rPr>
        <w:t xml:space="preserve">% a </w:t>
      </w:r>
      <w:r w:rsidR="00B22DEE" w:rsidRPr="00B22DEE">
        <w:rPr>
          <w:rFonts w:ascii="Arial" w:eastAsia="Arial" w:hAnsi="Arial" w:cs="Arial"/>
          <w:sz w:val="20"/>
          <w:szCs w:val="20"/>
        </w:rPr>
        <w:t>30</w:t>
      </w:r>
      <w:r w:rsidRPr="00B22DEE">
        <w:rPr>
          <w:rFonts w:ascii="Arial" w:eastAsia="Arial" w:hAnsi="Arial" w:cs="Arial"/>
          <w:sz w:val="20"/>
          <w:szCs w:val="20"/>
        </w:rPr>
        <w:t xml:space="preserve">%  do valor do Contrato. </w:t>
      </w:r>
    </w:p>
    <w:p w14:paraId="19817373" w14:textId="512E70EB" w:rsidR="00EA1F16" w:rsidRPr="00B22DEE"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B22DEE">
        <w:rPr>
          <w:rFonts w:ascii="Arial" w:eastAsia="Arial" w:hAnsi="Arial" w:cs="Arial"/>
          <w:sz w:val="20"/>
          <w:szCs w:val="20"/>
        </w:rPr>
        <w:t xml:space="preserve">Para infração descrita na alínea “b” do subitem 12.1, a multa será de </w:t>
      </w:r>
      <w:r w:rsidR="00B22DEE" w:rsidRPr="00B22DEE">
        <w:rPr>
          <w:rFonts w:ascii="Arial" w:eastAsia="Arial" w:hAnsi="Arial" w:cs="Arial"/>
          <w:sz w:val="20"/>
          <w:szCs w:val="20"/>
        </w:rPr>
        <w:t>10</w:t>
      </w:r>
      <w:r w:rsidRPr="00B22DEE">
        <w:rPr>
          <w:rFonts w:ascii="Arial" w:eastAsia="Arial" w:hAnsi="Arial" w:cs="Arial"/>
          <w:sz w:val="20"/>
          <w:szCs w:val="20"/>
        </w:rPr>
        <w:t xml:space="preserve">% a </w:t>
      </w:r>
      <w:r w:rsidR="00B22DEE" w:rsidRPr="00B22DEE">
        <w:rPr>
          <w:rFonts w:ascii="Arial" w:eastAsia="Arial" w:hAnsi="Arial" w:cs="Arial"/>
          <w:sz w:val="20"/>
          <w:szCs w:val="20"/>
        </w:rPr>
        <w:t>30</w:t>
      </w:r>
      <w:r w:rsidRPr="00B22DEE">
        <w:rPr>
          <w:rFonts w:ascii="Arial" w:eastAsia="Arial" w:hAnsi="Arial" w:cs="Arial"/>
          <w:sz w:val="20"/>
          <w:szCs w:val="20"/>
        </w:rPr>
        <w:t>%  do valor do Contrato.</w:t>
      </w:r>
    </w:p>
    <w:p w14:paraId="1636CE15" w14:textId="256C0773" w:rsidR="00EA1F16" w:rsidRPr="00B22DEE"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B22DEE">
        <w:rPr>
          <w:rFonts w:ascii="Arial" w:eastAsia="Arial" w:hAnsi="Arial" w:cs="Arial"/>
          <w:sz w:val="20"/>
          <w:szCs w:val="20"/>
        </w:rPr>
        <w:t xml:space="preserve">Para infrações descritas na alínea “d” do subitem 12.1, a multa será de </w:t>
      </w:r>
      <w:r w:rsidR="00B22DEE" w:rsidRPr="00B22DEE">
        <w:rPr>
          <w:rFonts w:ascii="Arial" w:eastAsia="Arial" w:hAnsi="Arial" w:cs="Arial"/>
          <w:sz w:val="20"/>
          <w:szCs w:val="20"/>
        </w:rPr>
        <w:t>5</w:t>
      </w:r>
      <w:r w:rsidRPr="00B22DEE">
        <w:rPr>
          <w:rFonts w:ascii="Arial" w:eastAsia="Arial" w:hAnsi="Arial" w:cs="Arial"/>
          <w:sz w:val="20"/>
          <w:szCs w:val="20"/>
        </w:rPr>
        <w:t xml:space="preserve">% a </w:t>
      </w:r>
      <w:r w:rsidR="00B22DEE" w:rsidRPr="00B22DEE">
        <w:rPr>
          <w:rFonts w:ascii="Arial" w:eastAsia="Arial" w:hAnsi="Arial" w:cs="Arial"/>
          <w:sz w:val="20"/>
          <w:szCs w:val="20"/>
        </w:rPr>
        <w:t>10</w:t>
      </w:r>
      <w:r w:rsidRPr="00B22DEE">
        <w:rPr>
          <w:rFonts w:ascii="Arial" w:eastAsia="Arial" w:hAnsi="Arial" w:cs="Arial"/>
          <w:sz w:val="20"/>
          <w:szCs w:val="20"/>
        </w:rPr>
        <w:t>%  do valor do Contrato.</w:t>
      </w:r>
    </w:p>
    <w:p w14:paraId="4F8CC429" w14:textId="53CB3FDF" w:rsidR="00EA1F16" w:rsidRPr="00B22DEE"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B22DEE">
        <w:rPr>
          <w:rFonts w:ascii="Arial" w:eastAsia="Arial" w:hAnsi="Arial" w:cs="Arial"/>
          <w:sz w:val="20"/>
          <w:szCs w:val="20"/>
        </w:rPr>
        <w:t xml:space="preserve">Para a infração descrita na alínea “a” do subitem 12.1, a multa será de </w:t>
      </w:r>
      <w:r w:rsidR="00B22DEE" w:rsidRPr="00B22DEE">
        <w:rPr>
          <w:rFonts w:ascii="Arial" w:eastAsia="Arial" w:hAnsi="Arial" w:cs="Arial"/>
          <w:sz w:val="20"/>
          <w:szCs w:val="20"/>
        </w:rPr>
        <w:t>5</w:t>
      </w:r>
      <w:r w:rsidRPr="00B22DEE">
        <w:rPr>
          <w:rFonts w:ascii="Arial" w:eastAsia="Arial" w:hAnsi="Arial" w:cs="Arial"/>
          <w:sz w:val="20"/>
          <w:szCs w:val="20"/>
        </w:rPr>
        <w:t xml:space="preserve">% a </w:t>
      </w:r>
      <w:r w:rsidR="00B22DEE" w:rsidRPr="00B22DEE">
        <w:rPr>
          <w:rFonts w:ascii="Arial" w:eastAsia="Arial" w:hAnsi="Arial" w:cs="Arial"/>
          <w:sz w:val="20"/>
          <w:szCs w:val="20"/>
        </w:rPr>
        <w:t>10</w:t>
      </w:r>
      <w:r w:rsidRPr="00B22DEE">
        <w:rPr>
          <w:rFonts w:ascii="Arial" w:eastAsia="Arial" w:hAnsi="Arial" w:cs="Arial"/>
          <w:sz w:val="20"/>
          <w:szCs w:val="20"/>
        </w:rPr>
        <w:t>% do valor do Contrato, ressalvadas as seguintes infrações:</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2"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3"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4"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4827F2">
          <w:rPr>
            <w:rStyle w:val="Hyperlink"/>
          </w:rPr>
          <w:t>art. 156, §8º, da Lei nº 14.133, de 2021</w:t>
        </w:r>
      </w:hyperlink>
      <w:r w:rsidRPr="004827F2">
        <w:t>).</w:t>
      </w:r>
    </w:p>
    <w:p w14:paraId="53AB3C5C" w14:textId="5BD1B4C1" w:rsidR="00DC41DD" w:rsidRPr="004827F2" w:rsidRDefault="00DC41DD" w:rsidP="00F61CE2">
      <w:pPr>
        <w:pStyle w:val="Nivel3"/>
      </w:pPr>
      <w:r w:rsidRPr="004827F2">
        <w:t xml:space="preserve">Previamente ao encaminhamento à cobrança judicial, a multa poderá ser recolhida administrativamente no prazo máximo de </w:t>
      </w:r>
      <w:r w:rsidR="00B22DEE">
        <w:t xml:space="preserve">30 </w:t>
      </w:r>
      <w:r w:rsidRPr="00B22DEE">
        <w:rPr>
          <w:i/>
          <w:iCs/>
          <w:color w:val="auto"/>
        </w:rPr>
        <w:t>(</w:t>
      </w:r>
      <w:r w:rsidR="00B22DEE" w:rsidRPr="00B22DEE">
        <w:rPr>
          <w:i/>
          <w:iCs/>
          <w:color w:val="auto"/>
        </w:rPr>
        <w:t>trinta</w:t>
      </w:r>
      <w:r w:rsidRPr="00B22DEE">
        <w:rPr>
          <w:i/>
          <w:iCs/>
          <w:color w:val="auto"/>
        </w:rPr>
        <w:t>)</w:t>
      </w:r>
      <w:r w:rsidRPr="004827F2">
        <w:rPr>
          <w:i/>
          <w:iCs/>
          <w:color w:val="FF0000"/>
        </w:rPr>
        <w:t xml:space="preserve"> </w:t>
      </w:r>
      <w:r w:rsidRPr="004827F2">
        <w:t>dias, a contar da data do recebimento da comunicação enviada pela autoridade competente.</w:t>
      </w:r>
      <w:bookmarkStart w:id="4" w:name="_Hlk78351618"/>
      <w:bookmarkEnd w:id="4"/>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6"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7"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8"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39"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0"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42"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3"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5" w:anchor="art92" w:history="1">
        <w:r w:rsidRPr="004827F2">
          <w:rPr>
            <w:rStyle w:val="Hyperlink"/>
          </w:rPr>
          <w:t>art. 92, XIX</w:t>
        </w:r>
      </w:hyperlink>
      <w:r w:rsidRPr="004827F2">
        <w:t>)</w:t>
      </w:r>
    </w:p>
    <w:p w14:paraId="6D480A11" w14:textId="2F3DA549" w:rsidR="00DC41DD" w:rsidRPr="005040D5" w:rsidRDefault="00DC41DD" w:rsidP="00F61CE2">
      <w:pPr>
        <w:pStyle w:val="Nvel2-Red"/>
        <w:rPr>
          <w:color w:val="auto"/>
        </w:rPr>
      </w:pPr>
      <w:r w:rsidRPr="005040D5">
        <w:rPr>
          <w:color w:val="auto"/>
        </w:rPr>
        <w:t xml:space="preserve">O contrato </w:t>
      </w:r>
      <w:r w:rsidR="00B53F7A" w:rsidRPr="005040D5">
        <w:rPr>
          <w:color w:val="auto"/>
          <w:highlight w:val="yellow"/>
        </w:rPr>
        <w:t>será extinto</w:t>
      </w:r>
      <w:r w:rsidR="00B53F7A" w:rsidRPr="005040D5">
        <w:rPr>
          <w:i w:val="0"/>
          <w:color w:val="auto"/>
        </w:rPr>
        <w:t xml:space="preserve"> </w:t>
      </w:r>
      <w:r w:rsidRPr="005040D5">
        <w:rPr>
          <w:color w:val="auto"/>
        </w:rPr>
        <w:t>quando cumpridas as obrigações de ambas as partes, ainda que isso ocorra antes do prazo estipulado para tanto.</w:t>
      </w:r>
    </w:p>
    <w:p w14:paraId="7FB71ECA" w14:textId="77777777" w:rsidR="00DC41DD" w:rsidRPr="005040D5" w:rsidRDefault="00DC41DD" w:rsidP="00F61CE2">
      <w:pPr>
        <w:pStyle w:val="Nvel2-Red"/>
        <w:rPr>
          <w:color w:val="auto"/>
        </w:rPr>
      </w:pPr>
      <w:r w:rsidRPr="005040D5">
        <w:rPr>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5040D5" w:rsidRDefault="00DC41DD" w:rsidP="00216690">
      <w:pPr>
        <w:pStyle w:val="Nvel3-R"/>
        <w:rPr>
          <w:color w:val="auto"/>
        </w:rPr>
      </w:pPr>
      <w:r w:rsidRPr="005040D5">
        <w:rPr>
          <w:color w:val="auto"/>
        </w:rPr>
        <w:t>Quando a não conclusão do contrato referida no item anterior decorrer de culpa do contratado:</w:t>
      </w:r>
    </w:p>
    <w:p w14:paraId="40116AB9" w14:textId="50367B17" w:rsidR="00DC41DD" w:rsidRPr="005040D5"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sz w:val="20"/>
          <w:szCs w:val="20"/>
        </w:rPr>
      </w:pPr>
      <w:r w:rsidRPr="005040D5">
        <w:rPr>
          <w:rFonts w:ascii="Arial" w:eastAsia="Arial" w:hAnsi="Arial" w:cs="Arial"/>
          <w:i/>
          <w:iCs/>
          <w:sz w:val="20"/>
          <w:szCs w:val="20"/>
        </w:rPr>
        <w:t xml:space="preserve">ficará ele constituído em mora, sendo-lhe aplicáveis as respectivas sanções administrativas;e  </w:t>
      </w:r>
    </w:p>
    <w:p w14:paraId="77380B14" w14:textId="77777777" w:rsidR="00DC41DD" w:rsidRPr="005040D5"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sz w:val="20"/>
          <w:szCs w:val="20"/>
        </w:rPr>
      </w:pPr>
      <w:r w:rsidRPr="005040D5">
        <w:rPr>
          <w:rFonts w:ascii="Arial" w:eastAsia="Arial" w:hAnsi="Arial" w:cs="Arial"/>
          <w:i/>
          <w:iCs/>
          <w:sz w:val="20"/>
          <w:szCs w:val="20"/>
        </w:rPr>
        <w:t>poderá a Administração optar pela extinção do contrato e, nesse caso, adotará as medidas admitidas em lei para a continuidade da execução contratual.</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46"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47"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8"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49"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B20129" w:rsidRDefault="00DC41DD" w:rsidP="00216690">
      <w:pPr>
        <w:pStyle w:val="Nvel2-Red"/>
        <w:rPr>
          <w:color w:val="auto"/>
        </w:rPr>
      </w:pPr>
      <w:r w:rsidRPr="00B20129">
        <w:rPr>
          <w:color w:val="auto"/>
        </w:rPr>
        <w:t>A dotação relativa aos exercícios financeiros subsequentes será indicada após aprovação da Lei Orçamentária respectiva e liberação dos créditos correspondentes, mediante apostilamento.</w:t>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0"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1" w:history="1">
        <w:r w:rsidRPr="004827F2">
          <w:rPr>
            <w:rStyle w:val="Hyperlink"/>
          </w:rPr>
          <w:t>nº 14.133, de 2021</w:t>
        </w:r>
      </w:hyperlink>
      <w:r w:rsidRPr="004827F2">
        <w:t xml:space="preserve">, e demais normas federais aplicáveis e, subsidiariamente, segundo as disposições contidas na </w:t>
      </w:r>
      <w:hyperlink r:id="rId52"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3"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4"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5"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56" w:anchor="art8§2" w:history="1">
        <w:r w:rsidRPr="004827F2">
          <w:rPr>
            <w:rStyle w:val="Hyperlink"/>
          </w:rPr>
          <w:t>art. 8º, §2º, da Lei n. 12.527, de 2011</w:t>
        </w:r>
      </w:hyperlink>
      <w:r w:rsidRPr="004827F2">
        <w:t xml:space="preserve">, c/c </w:t>
      </w:r>
      <w:hyperlink r:id="rId57"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58" w:anchor="art92§1" w:history="1">
        <w:r w:rsidRPr="004827F2">
          <w:rPr>
            <w:rStyle w:val="Hyperlink"/>
          </w:rPr>
          <w:t>art. 92, §1º</w:t>
        </w:r>
      </w:hyperlink>
      <w:r w:rsidRPr="004827F2">
        <w:t>)</w:t>
      </w:r>
    </w:p>
    <w:p w14:paraId="184251F6" w14:textId="40E79B9A" w:rsidR="00DC41DD" w:rsidRPr="004827F2" w:rsidRDefault="001B3419" w:rsidP="00C6226F">
      <w:pPr>
        <w:pStyle w:val="Nivel2"/>
      </w:pPr>
      <w:r w:rsidRPr="001B3419">
        <w:rPr>
          <w:rFonts w:hint="eastAsia"/>
          <w:color w:val="auto"/>
          <w:lang w:eastAsia="en-US"/>
        </w:rPr>
        <w:t>Fica eleito o Foro da Justiça Federal em Taubaté-SP, Seção Judiciária da 2</w:t>
      </w:r>
      <w:r w:rsidRPr="001B3419">
        <w:rPr>
          <w:rFonts w:hint="eastAsia"/>
          <w:color w:val="auto"/>
          <w:lang w:eastAsia="en-US"/>
        </w:rPr>
        <w:t>ª</w:t>
      </w:r>
      <w:r w:rsidRPr="001B3419">
        <w:rPr>
          <w:rFonts w:hint="eastAsia"/>
          <w:color w:val="auto"/>
          <w:lang w:eastAsia="en-US"/>
        </w:rPr>
        <w:t xml:space="preserve"> Vara Federal de Taubaté, 3</w:t>
      </w:r>
      <w:r w:rsidRPr="001B3419">
        <w:rPr>
          <w:rFonts w:hint="eastAsia"/>
          <w:color w:val="auto"/>
          <w:lang w:eastAsia="en-US"/>
        </w:rPr>
        <w:t>ª</w:t>
      </w:r>
      <w:r w:rsidRPr="001B3419">
        <w:rPr>
          <w:rFonts w:hint="eastAsia"/>
          <w:color w:val="auto"/>
          <w:lang w:eastAsia="en-US"/>
        </w:rPr>
        <w:t xml:space="preserve"> Região, para</w:t>
      </w:r>
      <w:r w:rsidRPr="001B3419">
        <w:rPr>
          <w:color w:val="auto"/>
          <w:lang w:eastAsia="en-US"/>
        </w:rPr>
        <w:t xml:space="preserve"> </w:t>
      </w:r>
      <w:r w:rsidRPr="001B3419">
        <w:rPr>
          <w:rFonts w:hint="eastAsia"/>
          <w:color w:val="auto"/>
          <w:lang w:eastAsia="en-US"/>
        </w:rPr>
        <w:t>dirimir os litígios que decorrerem da execução deste Anexo que não puderem ser compostos pela conciliação, conforme art. 92,</w:t>
      </w:r>
      <w:r w:rsidRPr="001B3419">
        <w:rPr>
          <w:color w:val="auto"/>
          <w:lang w:eastAsia="en-US"/>
        </w:rPr>
        <w:t xml:space="preserve"> </w:t>
      </w:r>
      <w:r w:rsidRPr="001B3419">
        <w:rPr>
          <w:rFonts w:hint="eastAsia"/>
          <w:color w:val="auto"/>
          <w:lang w:eastAsia="en-US"/>
        </w:rPr>
        <w:t>1</w:t>
      </w:r>
      <w:r w:rsidRPr="001B3419">
        <w:rPr>
          <w:rFonts w:hint="eastAsia"/>
          <w:color w:val="auto"/>
          <w:lang w:eastAsia="en-US"/>
        </w:rPr>
        <w:t>º</w:t>
      </w:r>
      <w:r w:rsidRPr="001B3419">
        <w:rPr>
          <w:rFonts w:hint="eastAsia"/>
          <w:color w:val="auto"/>
          <w:lang w:eastAsia="en-US"/>
        </w:rPr>
        <w:t>, da Lei n</w:t>
      </w:r>
      <w:r w:rsidRPr="001B3419">
        <w:rPr>
          <w:rFonts w:hint="eastAsia"/>
          <w:color w:val="auto"/>
          <w:lang w:eastAsia="en-US"/>
        </w:rPr>
        <w:t>º</w:t>
      </w:r>
      <w:r w:rsidRPr="001B3419">
        <w:rPr>
          <w:rFonts w:hint="eastAsia"/>
          <w:color w:val="auto"/>
          <w:lang w:eastAsia="en-US"/>
        </w:rPr>
        <w:t xml:space="preserve"> 14.133/21.</w:t>
      </w:r>
    </w:p>
    <w:p w14:paraId="0BF9CE03" w14:textId="77777777" w:rsidR="00FE46F7" w:rsidRDefault="00FE46F7" w:rsidP="00D01ED2">
      <w:pPr>
        <w:spacing w:before="120" w:afterLines="120" w:after="288" w:line="312" w:lineRule="auto"/>
        <w:ind w:firstLine="567"/>
        <w:jc w:val="center"/>
        <w:rPr>
          <w:rFonts w:ascii="Arial" w:hAnsi="Arial" w:cs="Arial"/>
          <w:i/>
          <w:iCs/>
          <w:color w:val="FF0000"/>
          <w:sz w:val="20"/>
          <w:szCs w:val="20"/>
        </w:rPr>
      </w:pPr>
    </w:p>
    <w:p w14:paraId="0F3F1B4C" w14:textId="3F1616AC" w:rsidR="00DC41DD" w:rsidRPr="00FE46F7" w:rsidRDefault="00FE46F7" w:rsidP="00D01ED2">
      <w:pPr>
        <w:spacing w:before="120" w:afterLines="120" w:after="288" w:line="312" w:lineRule="auto"/>
        <w:ind w:firstLine="567"/>
        <w:jc w:val="center"/>
        <w:rPr>
          <w:rFonts w:ascii="Arial" w:hAnsi="Arial" w:cs="Arial"/>
          <w:i/>
          <w:iCs/>
          <w:sz w:val="20"/>
          <w:szCs w:val="20"/>
        </w:rPr>
      </w:pPr>
      <w:r w:rsidRPr="00FE46F7">
        <w:rPr>
          <w:rFonts w:ascii="Arial" w:hAnsi="Arial" w:cs="Arial"/>
          <w:i/>
          <w:iCs/>
          <w:sz w:val="20"/>
          <w:szCs w:val="20"/>
        </w:rPr>
        <w:t>Taubaté-SP, ___ de _____________ de 2024.</w:t>
      </w:r>
    </w:p>
    <w:p w14:paraId="358D8713" w14:textId="77777777" w:rsidR="00FE46F7" w:rsidRPr="004827F2" w:rsidRDefault="00FE46F7" w:rsidP="00D01ED2">
      <w:pPr>
        <w:spacing w:before="120" w:afterLines="120" w:after="288" w:line="312" w:lineRule="auto"/>
        <w:ind w:firstLine="567"/>
        <w:jc w:val="center"/>
        <w:rPr>
          <w:rFonts w:ascii="Arial" w:hAnsi="Arial" w:cs="Arial"/>
          <w:bCs/>
          <w:sz w:val="20"/>
          <w:szCs w:val="20"/>
        </w:rPr>
      </w:pPr>
    </w:p>
    <w:p w14:paraId="01DD2255" w14:textId="28566170" w:rsidR="00FE46F7" w:rsidRPr="00513C82" w:rsidRDefault="00FE46F7" w:rsidP="00FE46F7">
      <w:pPr>
        <w:keepNext/>
        <w:numPr>
          <w:ilvl w:val="1"/>
          <w:numId w:val="36"/>
        </w:numPr>
        <w:tabs>
          <w:tab w:val="left" w:pos="0"/>
          <w:tab w:val="left" w:pos="4820"/>
        </w:tabs>
        <w:suppressAutoHyphens/>
        <w:ind w:left="0" w:firstLine="0"/>
        <w:jc w:val="center"/>
        <w:outlineLvl w:val="1"/>
        <w:rPr>
          <w:rFonts w:ascii="Arial" w:hAnsi="Arial" w:cs="Arial"/>
          <w:b/>
        </w:rPr>
      </w:pPr>
      <w:r w:rsidRPr="00513C82">
        <w:rPr>
          <w:rFonts w:ascii="Arial" w:hAnsi="Arial" w:cs="Arial"/>
          <w:b/>
          <w:color w:val="000000"/>
        </w:rPr>
        <w:t>WAGNER GONÇALVES DE SOUZA –  Cel</w:t>
      </w:r>
    </w:p>
    <w:p w14:paraId="1B7AB8D3" w14:textId="77777777" w:rsidR="00FE46F7" w:rsidRPr="00FE46F7" w:rsidRDefault="00FE46F7" w:rsidP="00FE46F7">
      <w:pPr>
        <w:keepNext/>
        <w:numPr>
          <w:ilvl w:val="8"/>
          <w:numId w:val="0"/>
        </w:numPr>
        <w:tabs>
          <w:tab w:val="left" w:pos="0"/>
        </w:tabs>
        <w:suppressAutoHyphens/>
        <w:jc w:val="center"/>
        <w:outlineLvl w:val="8"/>
        <w:rPr>
          <w:rFonts w:ascii="Arial" w:hAnsi="Arial" w:cs="Arial"/>
        </w:rPr>
      </w:pPr>
      <w:r w:rsidRPr="00FE46F7">
        <w:rPr>
          <w:rFonts w:ascii="Arial" w:hAnsi="Arial" w:cs="Arial"/>
          <w:lang w:bidi="pt-BR"/>
        </w:rPr>
        <w:t>Ordenador de Despesas da Base de Aviação de Taubaté</w:t>
      </w:r>
    </w:p>
    <w:p w14:paraId="4E1134FF" w14:textId="77777777" w:rsidR="00FE46F7" w:rsidRPr="00FE46F7" w:rsidRDefault="00FE46F7" w:rsidP="00FE46F7">
      <w:pPr>
        <w:suppressAutoHyphens/>
        <w:spacing w:after="120"/>
        <w:jc w:val="center"/>
        <w:rPr>
          <w:rFonts w:ascii="Arial" w:hAnsi="Arial" w:cs="Arial"/>
          <w:lang w:eastAsia="zh-CN"/>
        </w:rPr>
      </w:pPr>
    </w:p>
    <w:p w14:paraId="363CACBC" w14:textId="679E4DF3" w:rsidR="00FE46F7" w:rsidRPr="00FE46F7" w:rsidRDefault="00FE46F7"/>
    <w:p w14:paraId="539405D3" w14:textId="70B04B11" w:rsidR="00FE46F7" w:rsidRPr="00FE46F7" w:rsidRDefault="00FE46F7" w:rsidP="00D01ED2">
      <w:pPr>
        <w:spacing w:before="120" w:afterLines="120" w:after="288" w:line="312" w:lineRule="auto"/>
        <w:ind w:firstLine="567"/>
        <w:jc w:val="center"/>
        <w:rPr>
          <w:rFonts w:ascii="Arial" w:hAnsi="Arial" w:cs="Arial"/>
          <w:sz w:val="20"/>
          <w:szCs w:val="20"/>
        </w:rPr>
      </w:pPr>
    </w:p>
    <w:p w14:paraId="3D75EBFB" w14:textId="021DFD88" w:rsidR="00DC41DD" w:rsidRPr="00FE46F7" w:rsidRDefault="00DC41DD" w:rsidP="00D01ED2">
      <w:pPr>
        <w:spacing w:before="120" w:afterLines="120" w:after="288" w:line="312" w:lineRule="auto"/>
        <w:ind w:firstLine="567"/>
        <w:jc w:val="center"/>
        <w:rPr>
          <w:rFonts w:ascii="Arial" w:hAnsi="Arial" w:cs="Arial"/>
          <w:sz w:val="20"/>
          <w:szCs w:val="20"/>
        </w:rPr>
      </w:pPr>
      <w:r w:rsidRPr="00FE46F7">
        <w:rPr>
          <w:rFonts w:ascii="Arial" w:hAnsi="Arial" w:cs="Arial"/>
          <w:sz w:val="20"/>
          <w:szCs w:val="20"/>
        </w:rPr>
        <w:t>______________________</w:t>
      </w:r>
    </w:p>
    <w:p w14:paraId="6FEAC95C" w14:textId="77777777" w:rsidR="00DC41DD" w:rsidRPr="00FE46F7" w:rsidRDefault="00DC41DD" w:rsidP="00D01ED2">
      <w:pPr>
        <w:spacing w:before="120" w:afterLines="120" w:after="288" w:line="312" w:lineRule="auto"/>
        <w:ind w:firstLine="567"/>
        <w:jc w:val="center"/>
        <w:rPr>
          <w:rFonts w:ascii="Arial" w:hAnsi="Arial" w:cs="Arial"/>
          <w:sz w:val="20"/>
          <w:szCs w:val="20"/>
        </w:rPr>
      </w:pPr>
      <w:r w:rsidRPr="00FE46F7">
        <w:rPr>
          <w:rFonts w:ascii="Arial" w:hAnsi="Arial" w:cs="Arial"/>
          <w:bCs/>
          <w:sz w:val="20"/>
          <w:szCs w:val="20"/>
        </w:rPr>
        <w:t>Representante</w:t>
      </w:r>
      <w:r w:rsidRPr="00FE46F7">
        <w:rPr>
          <w:rFonts w:ascii="Arial" w:hAnsi="Arial" w:cs="Arial"/>
          <w:sz w:val="20"/>
          <w:szCs w:val="20"/>
        </w:rPr>
        <w:t xml:space="preserve"> legal do CONTRATADO</w:t>
      </w:r>
    </w:p>
    <w:p w14:paraId="1D3BC2B7" w14:textId="77777777" w:rsidR="00DC41DD" w:rsidRPr="00FE46F7" w:rsidRDefault="00DC41DD" w:rsidP="00D01ED2">
      <w:pPr>
        <w:spacing w:before="120" w:afterLines="120" w:after="288" w:line="312" w:lineRule="auto"/>
        <w:ind w:firstLine="567"/>
        <w:jc w:val="both"/>
        <w:rPr>
          <w:rFonts w:ascii="Arial" w:hAnsi="Arial" w:cs="Arial"/>
          <w:i/>
          <w:iCs/>
          <w:sz w:val="20"/>
          <w:szCs w:val="20"/>
        </w:rPr>
      </w:pPr>
      <w:r w:rsidRPr="00FE46F7">
        <w:rPr>
          <w:rFonts w:ascii="Arial" w:hAnsi="Arial" w:cs="Arial"/>
          <w:i/>
          <w:iCs/>
          <w:sz w:val="20"/>
          <w:szCs w:val="20"/>
        </w:rPr>
        <w:t>TESTEMUNHAS:</w:t>
      </w:r>
    </w:p>
    <w:p w14:paraId="18A9965D" w14:textId="77777777" w:rsidR="00DC41DD" w:rsidRPr="00FE46F7" w:rsidRDefault="00DC41DD" w:rsidP="00D01ED2">
      <w:pPr>
        <w:spacing w:before="120" w:afterLines="120" w:after="288" w:line="312" w:lineRule="auto"/>
        <w:ind w:firstLine="567"/>
        <w:rPr>
          <w:rFonts w:ascii="Arial" w:hAnsi="Arial" w:cs="Arial"/>
          <w:i/>
          <w:iCs/>
          <w:sz w:val="20"/>
          <w:szCs w:val="20"/>
        </w:rPr>
      </w:pPr>
      <w:r w:rsidRPr="00FE46F7">
        <w:rPr>
          <w:rFonts w:ascii="Arial" w:hAnsi="Arial" w:cs="Arial"/>
          <w:i/>
          <w:iCs/>
          <w:sz w:val="20"/>
          <w:szCs w:val="20"/>
        </w:rPr>
        <w:t>1-</w:t>
      </w:r>
    </w:p>
    <w:p w14:paraId="633F747C" w14:textId="39F3A2FD" w:rsidR="00DC41DD" w:rsidRPr="00FE46F7" w:rsidRDefault="00DC41DD" w:rsidP="00D01ED2">
      <w:pPr>
        <w:spacing w:before="120" w:afterLines="120" w:after="288" w:line="312" w:lineRule="auto"/>
        <w:ind w:firstLine="567"/>
        <w:rPr>
          <w:rFonts w:ascii="Arial" w:hAnsi="Arial" w:cs="Arial"/>
          <w:sz w:val="20"/>
          <w:szCs w:val="20"/>
        </w:rPr>
      </w:pPr>
      <w:r w:rsidRPr="00FE46F7">
        <w:rPr>
          <w:rFonts w:ascii="Arial" w:hAnsi="Arial" w:cs="Arial"/>
          <w:i/>
          <w:iCs/>
          <w:sz w:val="20"/>
          <w:szCs w:val="20"/>
        </w:rPr>
        <w:t xml:space="preserve">2- </w:t>
      </w:r>
    </w:p>
    <w:sectPr w:rsidR="00DC41DD" w:rsidRPr="00FE46F7" w:rsidSect="006E54B9">
      <w:headerReference w:type="even" r:id="rId59"/>
      <w:headerReference w:type="default" r:id="rId60"/>
      <w:footerReference w:type="even" r:id="rId61"/>
      <w:footerReference w:type="default" r:id="rId62"/>
      <w:headerReference w:type="first" r:id="rId63"/>
      <w:footerReference w:type="first" r:id="rId64"/>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39FB8" w14:textId="77777777" w:rsidR="006E54B9" w:rsidRDefault="006E54B9">
      <w:r>
        <w:separator/>
      </w:r>
    </w:p>
  </w:endnote>
  <w:endnote w:type="continuationSeparator" w:id="0">
    <w:p w14:paraId="686530CF" w14:textId="77777777" w:rsidR="006E54B9" w:rsidRDefault="006E54B9">
      <w:r>
        <w:continuationSeparator/>
      </w:r>
    </w:p>
  </w:endnote>
  <w:endnote w:type="continuationNotice" w:id="1">
    <w:p w14:paraId="7EAC62BC" w14:textId="77777777" w:rsidR="006E54B9" w:rsidRDefault="006E5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80"/>
    <w:family w:val="auto"/>
    <w:pitch w:val="variable"/>
  </w:font>
  <w:font w:name="Lohit Hindi">
    <w:altName w:val="Times New Roman"/>
    <w:charset w:val="00"/>
    <w:family w:val="auto"/>
    <w:pitch w:val="variable"/>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F0D38" w14:textId="77777777" w:rsidR="00E5106A" w:rsidRDefault="00E5106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57207" w14:textId="77777777" w:rsidR="00E5106A" w:rsidRDefault="00E5106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97E1B" w14:textId="77777777" w:rsidR="006E54B9" w:rsidRDefault="006E54B9">
      <w:r>
        <w:separator/>
      </w:r>
    </w:p>
  </w:footnote>
  <w:footnote w:type="continuationSeparator" w:id="0">
    <w:p w14:paraId="6907C14A" w14:textId="77777777" w:rsidR="006E54B9" w:rsidRDefault="006E54B9">
      <w:r>
        <w:continuationSeparator/>
      </w:r>
    </w:p>
  </w:footnote>
  <w:footnote w:type="continuationNotice" w:id="1">
    <w:p w14:paraId="30789F18" w14:textId="77777777" w:rsidR="006E54B9" w:rsidRDefault="006E54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4CB7F" w14:textId="77777777" w:rsidR="00E5106A" w:rsidRDefault="00E5106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4BAFB938"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00885651">
      <w:rPr>
        <w:rFonts w:ascii="Arial" w:hAnsi="Arial" w:cs="Arial"/>
        <w:sz w:val="20"/>
        <w:szCs w:val="20"/>
      </w:rPr>
      <w:t>900</w:t>
    </w:r>
    <w:r w:rsidR="00E5106A">
      <w:rPr>
        <w:rFonts w:ascii="Arial" w:hAnsi="Arial" w:cs="Arial"/>
        <w:sz w:val="20"/>
        <w:szCs w:val="20"/>
      </w:rPr>
      <w:t>35</w:t>
    </w:r>
    <w:r w:rsidR="00885651">
      <w:rPr>
        <w:rFonts w:ascii="Arial" w:hAnsi="Arial" w:cs="Arial"/>
        <w:sz w:val="20"/>
        <w:szCs w:val="20"/>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3B6E5" w14:textId="77777777" w:rsidR="00E5106A" w:rsidRDefault="00E510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7"/>
  </w:num>
  <w:num w:numId="2" w16cid:durableId="1990985445">
    <w:abstractNumId w:val="0"/>
  </w:num>
  <w:num w:numId="3" w16cid:durableId="1125544186">
    <w:abstractNumId w:val="21"/>
  </w:num>
  <w:num w:numId="4" w16cid:durableId="300767402">
    <w:abstractNumId w:val="22"/>
  </w:num>
  <w:num w:numId="5" w16cid:durableId="1777289360">
    <w:abstractNumId w:val="13"/>
  </w:num>
  <w:num w:numId="6" w16cid:durableId="2049067172">
    <w:abstractNumId w:val="10"/>
  </w:num>
  <w:num w:numId="7" w16cid:durableId="1862477675">
    <w:abstractNumId w:val="17"/>
  </w:num>
  <w:num w:numId="8" w16cid:durableId="696542643">
    <w:abstractNumId w:val="19"/>
  </w:num>
  <w:num w:numId="9" w16cid:durableId="2085954890">
    <w:abstractNumId w:val="7"/>
    <w:lvlOverride w:ilvl="0"/>
    <w:lvlOverride w:ilvl="1">
      <w:startOverride w:val="2"/>
    </w:lvlOverride>
    <w:lvlOverride w:ilvl="2"/>
    <w:lvlOverride w:ilvl="3"/>
    <w:lvlOverride w:ilvl="4"/>
    <w:lvlOverride w:ilvl="5"/>
    <w:lvlOverride w:ilvl="6"/>
    <w:lvlOverride w:ilvl="7"/>
    <w:lvlOverride w:ilvl="8"/>
  </w:num>
  <w:num w:numId="10" w16cid:durableId="1884170947">
    <w:abstractNumId w:val="7"/>
    <w:lvlOverride w:ilvl="0"/>
    <w:lvlOverride w:ilvl="1">
      <w:startOverride w:val="2"/>
    </w:lvlOverride>
    <w:lvlOverride w:ilvl="2"/>
    <w:lvlOverride w:ilvl="3"/>
    <w:lvlOverride w:ilvl="4"/>
    <w:lvlOverride w:ilvl="5"/>
    <w:lvlOverride w:ilvl="6"/>
    <w:lvlOverride w:ilvl="7"/>
    <w:lvlOverride w:ilvl="8"/>
  </w:num>
  <w:num w:numId="11" w16cid:durableId="1379161116">
    <w:abstractNumId w:val="7"/>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2"/>
  </w:num>
  <w:num w:numId="13" w16cid:durableId="1154100253">
    <w:abstractNumId w:val="9"/>
  </w:num>
  <w:num w:numId="14" w16cid:durableId="119496979">
    <w:abstractNumId w:val="6"/>
  </w:num>
  <w:num w:numId="15" w16cid:durableId="1614097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3"/>
  </w:num>
  <w:num w:numId="18" w16cid:durableId="1419790893">
    <w:abstractNumId w:val="4"/>
  </w:num>
  <w:num w:numId="19" w16cid:durableId="16591064">
    <w:abstractNumId w:val="23"/>
  </w:num>
  <w:num w:numId="20" w16cid:durableId="1657689004">
    <w:abstractNumId w:val="23"/>
  </w:num>
  <w:num w:numId="21" w16cid:durableId="564221337">
    <w:abstractNumId w:val="18"/>
  </w:num>
  <w:num w:numId="22" w16cid:durableId="487943659">
    <w:abstractNumId w:val="18"/>
  </w:num>
  <w:num w:numId="23" w16cid:durableId="10039004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6"/>
  </w:num>
  <w:num w:numId="25" w16cid:durableId="342174254">
    <w:abstractNumId w:val="14"/>
  </w:num>
  <w:num w:numId="26" w16cid:durableId="1811091326">
    <w:abstractNumId w:val="15"/>
  </w:num>
  <w:num w:numId="27" w16cid:durableId="2130196075">
    <w:abstractNumId w:val="20"/>
  </w:num>
  <w:num w:numId="28" w16cid:durableId="1626738587">
    <w:abstractNumId w:val="7"/>
  </w:num>
  <w:num w:numId="29" w16cid:durableId="1358921456">
    <w:abstractNumId w:val="7"/>
  </w:num>
  <w:num w:numId="30" w16cid:durableId="1839540183">
    <w:abstractNumId w:val="7"/>
  </w:num>
  <w:num w:numId="31" w16cid:durableId="725492053">
    <w:abstractNumId w:val="7"/>
  </w:num>
  <w:num w:numId="32" w16cid:durableId="886330868">
    <w:abstractNumId w:val="5"/>
  </w:num>
  <w:num w:numId="33" w16cid:durableId="933705702">
    <w:abstractNumId w:val="7"/>
  </w:num>
  <w:num w:numId="34" w16cid:durableId="12633013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8"/>
  </w:num>
  <w:num w:numId="36" w16cid:durableId="214781662">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C2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AEB"/>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1ADF"/>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409"/>
    <w:rsid w:val="001A7EEF"/>
    <w:rsid w:val="001A7F1F"/>
    <w:rsid w:val="001B005B"/>
    <w:rsid w:val="001B1079"/>
    <w:rsid w:val="001B1976"/>
    <w:rsid w:val="001B2538"/>
    <w:rsid w:val="001B2A3F"/>
    <w:rsid w:val="001B2FAE"/>
    <w:rsid w:val="001B3419"/>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943"/>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7A"/>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51"/>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5CB5"/>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0D5"/>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E0C"/>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984"/>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595"/>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4B9"/>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4F72"/>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651"/>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9C7"/>
    <w:rsid w:val="008D6B57"/>
    <w:rsid w:val="008D6C14"/>
    <w:rsid w:val="008D76C3"/>
    <w:rsid w:val="008D7A55"/>
    <w:rsid w:val="008E0BE2"/>
    <w:rsid w:val="008E0CD1"/>
    <w:rsid w:val="008E1CB2"/>
    <w:rsid w:val="008E31A9"/>
    <w:rsid w:val="008E4F95"/>
    <w:rsid w:val="008E530B"/>
    <w:rsid w:val="008E5366"/>
    <w:rsid w:val="008E5533"/>
    <w:rsid w:val="008E775F"/>
    <w:rsid w:val="008E7F51"/>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CE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A09"/>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91"/>
    <w:rsid w:val="00B173B2"/>
    <w:rsid w:val="00B20129"/>
    <w:rsid w:val="00B20164"/>
    <w:rsid w:val="00B202C7"/>
    <w:rsid w:val="00B203F3"/>
    <w:rsid w:val="00B2101D"/>
    <w:rsid w:val="00B210D6"/>
    <w:rsid w:val="00B21628"/>
    <w:rsid w:val="00B22DEE"/>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1B52"/>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0F2"/>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D60"/>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88A"/>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66A6"/>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06A"/>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5C8F"/>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30B"/>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46F7"/>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61"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yperlink" Target="https://www.planalto.gov.br/ccivil_03/leis/l8078compilado.htm" TargetMode="External"/><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64"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4596</Words>
  <Characters>24821</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2024-06-13T19:05:00Z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